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Healthcare Professions at Acute and Post Acute Care Facilities</w:t>
      </w: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Name</w:t>
      </w: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Professor</w:t>
      </w: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Course</w:t>
      </w: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10" w:color="auto"/>
          <w:between w:val="none" w:sz="0" w:space="0" w:color="auto"/>
        </w:pBdr>
        <w:shd w:val="clear" w:color="auto" w:fill="ffffff"/>
        <w:spacing w:after="0" w:lineRule="auto" w:line="576"/>
        <w:jc w:val="center"/>
        <w:contextualSpacing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Date</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center"/>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Introduction</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Acute care hospitals refers to a section or a branch of hospital where patients can receive short term treatment to injuries which are severe, urgent medical condition, episode of illness or recovery from surgery. Post acute care facility on the other hand refers to the settings where medical management, dressing changes, physical therapy, oxygen management, monitoring and pain management can be done from. Mostly patients who are admitted at the post care facilities have lower chances of being readmitted back to the hospital wards. This paper will explain broadly about the activities at acute and post care health facilities. Firstly, the paper will identify and explain types of healthcare professions found at both acute care hospital and post care facilities. Secondly, the paper will describe education levels and the requirements for the professions working at acute and post care hospitals. Third, the paper will explain the importance or advantages of effective screening among the potential employees. Finally, I will discuss concept of progressive discipline among the employees and importance of effective termination procedure at work places.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Types of Healthcare Professions at Acute Care Hospital</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 xml:space="preserve">Doctors. </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At acute care hospital or post-acute care hospital there are doctors who are either general practitioners or specialists caring for you. Doctors provide leadership roles at the acute care facilities which may include management of the facility and to make sure that health services are running as required including examination, diagnosis and prescribing relevant treatment to the patients who have been referred to the hospital either by other health professions or by the general practitioners. Doctors provide leadership roles at the acute care facilities which may include management of the facility and to make sure that health </w:t>
      </w:r>
      <w:r>
        <w:rPr>
          <w:rFonts w:ascii="Times New Roman" w:cs="Times New Roman" w:eastAsia="Times New Roman" w:hAnsi="Times New Roman"/>
          <w:sz w:val="24"/>
          <w:szCs w:val="24"/>
          <w:highlight w:val="white"/>
        </w:rPr>
        <w:t>(Abigail, 2016).</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Nurses</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Nurses can work either in a hospital or within the community setting. They can work on veteran affairs, aged or palliative care providing various types of care. Nurses are always available so as to advice on the medication you are taking, provide physical support if needed and advice both to the patient and to the patient family. They also have a role of preventing and promoting health among individuals, families and communities, prevent illness and help patients in recovery process from a health problem </w:t>
      </w:r>
      <w:r>
        <w:rPr>
          <w:rFonts w:ascii="Times New Roman" w:cs="Times New Roman" w:eastAsia="Times New Roman" w:hAnsi="Times New Roman"/>
          <w:sz w:val="24"/>
          <w:szCs w:val="24"/>
          <w:highlight w:val="white"/>
        </w:rPr>
        <w:t>(Vanderbilt, Dail &amp; Jaberi, 2015)</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Occupational Therapist</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These are health professions who engage patients closely through designated interventions or purposeful activities with an aim of achieving occupational results that promote good health and prevent disabilities and injuries and sustain, improve and restore to the highest state of health. They provide advice that are practical to the patients and give them working solutions to their health problems so that they can help these patients live satisfying and independent lives.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Social Workers</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They help families, individuals and groups to understand health problems they are going through and how they can improve their current state of health to a better health. They also provide appropriate interventions and provide assessment which can help the patients or make the recovery process of the patient from a health problem more easier or quality of life and rehabilitation. Social workers also play a role of ensuring that patients can easily access health services and educate them on health problems they are facing so they can understand how to overcome these conditions.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Educational Level and Requirement for the Profession</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Doctors.</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Before someone is allowed to work in  a acute care or post care health facility, one must have accomplished 4 years of training in medical school and completed between 3 – 7 years residency medical training before he or she is eligible for the medical license in the United States.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Nurse</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education background for nurses working in healthcare facilities vary from diploma to bachelor’s degree. The diploma course are offered for 3 years training before getting license while associate degree may take three years to complete.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Occupation Therapists</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Most of the health facilities require one to have completed a degree program specifically in Occupational Therapy (OT).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Social Workers</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Most health facilities would require one to have at least education degree or diploma relevant to the hospital setting before joining as a social worker.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Importance of Screening Potential Employees</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Screening process before recruitment of new staff to  an organization is very important as it gives an employer advantage and help them prepare adequately before the interview. Among the advantages of screening potential employees are. First, help in identifying the right workforce. This helps employer to get the right people whom he can work with that are suitable and are sustainable to the needed positions. Secondly, protecting the workforce. Screening helps in eliminating potential employees whose previous work has been characterised with troublesome personality, poor work ethics and inability to work well with other team members. Finally, screening potential employees helps in saving time. Screening helps in eliminating those those whose qualifications does not meet the required standards before the interview so as not to spend more time interviewing people who cannot work effectively for the position </w:t>
      </w:r>
      <w:r>
        <w:rPr>
          <w:rFonts w:ascii="Times New Roman" w:cs="Times New Roman" w:eastAsia="Times New Roman" w:hAnsi="Times New Roman"/>
          <w:sz w:val="24"/>
          <w:szCs w:val="24"/>
          <w:highlight w:val="white"/>
        </w:rPr>
        <w:t>(Schuver &amp; Steck, 2015)</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Progress Discipline and Effective Termination Procedure</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Progress discipline refers to handling of job related behaviors that does not meet the performance standards. The purpose of progress discipline is to help employee to know and understand problems and know there is opportunity for improvement. This process is not set as a punishment to the employee rather it is used as a tool to help employee realize the expected performance outcomes that are satisfying to the work expectations. The process may include counselling of the employee on performance and making sure that he or she understands or the working requirements and job descriptions. It can also be done through written warning letters indicating the areas of which require improvements </w:t>
      </w:r>
      <w:r>
        <w:rPr>
          <w:rFonts w:ascii="Times New Roman" w:cs="Times New Roman" w:eastAsia="Times New Roman" w:hAnsi="Times New Roman"/>
          <w:sz w:val="24"/>
          <w:szCs w:val="24"/>
          <w:highlight w:val="white"/>
        </w:rPr>
        <w:t>(Smulowitz &amp; Ziek, 2013)</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b/>
          <w:sz w:val="24"/>
          <w:szCs w:val="24"/>
        </w:rPr>
      </w:pPr>
      <w:r>
        <w:rPr>
          <w:rFonts w:ascii="Times New Roman" w:cs="Times New Roman" w:eastAsia="Times New Roman" w:hAnsi="Times New Roman"/>
          <w:sz w:val="24"/>
          <w:szCs w:val="24"/>
        </w:rPr>
        <w:t xml:space="preserve">Effective termination is very essential when when breaking contract between the employer and employee. This may involve making sure that assessment of the employee’s profile including motivation, documentations for example cases of warnings which were not followed, policies for termination of contract and the status of the employment laws. This are important aspects employer has to look at before terminating his or her contract with the employee to make sure that there are valid reasons for terminations of contract </w:t>
      </w:r>
      <w:r>
        <w:rPr>
          <w:rFonts w:ascii="Times New Roman" w:cs="Times New Roman" w:eastAsia="Times New Roman" w:hAnsi="Times New Roman"/>
          <w:sz w:val="24"/>
          <w:szCs w:val="24"/>
          <w:highlight w:val="white"/>
        </w:rPr>
        <w:t>(Swanljung &amp; Nurminen, 2017)</w:t>
      </w: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Conclusion</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0" w:firstLine="72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In conclusion, healthcare professions play an important role of preventing and promoting health among individuals, families and communities, prevent illness and help patients in recovery process from a health problem. However, there is need for effective screening among healthcare profession to make sure only those who meet the set standards are legalized to provide health services to the patients and the general population. The paper has also revealed need to enhance progressive discipline among the employing health facilities to help employee to know and understand problems and know there is opportunity for improvement and also to help them realize the expected performance outcomes that are satisfying to the work expectations.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b/>
          <w:sz w:val="24"/>
          <w:szCs w:val="24"/>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center"/>
        <w:contextualSpacing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Reference</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720" w:hanging="720"/>
        <w:jc w:val="both"/>
        <w:contextualSpacing w:val="false"/>
        <w:rPr>
          <w:rFonts w:ascii="Times New Roman" w:cs="Times New Roman" w:eastAsia="Times New Roman" w:hAnsi="Times New Roman"/>
          <w:sz w:val="24"/>
          <w:szCs w:val="24"/>
          <w:highlight w:val="white"/>
        </w:rPr>
      </w:pPr>
      <w:r>
        <w:rPr>
          <w:rFonts w:ascii="Times New Roman" w:cs="Times New Roman" w:eastAsia="Times New Roman" w:hAnsi="Times New Roman"/>
          <w:sz w:val="24"/>
          <w:szCs w:val="24"/>
          <w:highlight w:val="white"/>
        </w:rPr>
        <w:t xml:space="preserve">Abigail, L. (2016). Do communities of practice enhance faculty development?. </w:t>
      </w:r>
      <w:r>
        <w:rPr>
          <w:rFonts w:ascii="Times New Roman" w:cs="Times New Roman" w:eastAsia="Times New Roman" w:hAnsi="Times New Roman"/>
          <w:i/>
          <w:sz w:val="24"/>
          <w:szCs w:val="24"/>
          <w:highlight w:val="white"/>
        </w:rPr>
        <w:t>Health Professions Education</w:t>
      </w:r>
      <w:r>
        <w:rPr>
          <w:rFonts w:ascii="Times New Roman" w:cs="Times New Roman" w:eastAsia="Times New Roman" w:hAnsi="Times New Roman"/>
          <w:sz w:val="24"/>
          <w:szCs w:val="24"/>
          <w:highlight w:val="white"/>
        </w:rPr>
        <w:t xml:space="preserve">, </w:t>
      </w:r>
      <w:r>
        <w:rPr>
          <w:rFonts w:ascii="Times New Roman" w:cs="Times New Roman" w:eastAsia="Times New Roman" w:hAnsi="Times New Roman"/>
          <w:i/>
          <w:sz w:val="24"/>
          <w:szCs w:val="24"/>
          <w:highlight w:val="white"/>
        </w:rPr>
        <w:t>2</w:t>
      </w:r>
      <w:r>
        <w:rPr>
          <w:rFonts w:ascii="Times New Roman" w:cs="Times New Roman" w:eastAsia="Times New Roman" w:hAnsi="Times New Roman"/>
          <w:sz w:val="24"/>
          <w:szCs w:val="24"/>
          <w:highlight w:val="white"/>
        </w:rPr>
        <w:t>(2), 61-74. doi: 10.1016/j.hpe.2016.08.004</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720" w:hanging="720"/>
        <w:jc w:val="both"/>
        <w:contextualSpacing w:val="false"/>
        <w:rPr>
          <w:rFonts w:ascii="Times New Roman" w:cs="Times New Roman" w:eastAsia="Times New Roman" w:hAnsi="Times New Roman"/>
          <w:sz w:val="24"/>
          <w:szCs w:val="24"/>
          <w:highlight w:val="white"/>
        </w:rPr>
      </w:pPr>
      <w:r>
        <w:rPr>
          <w:rFonts w:ascii="Times New Roman" w:cs="Times New Roman" w:eastAsia="Times New Roman" w:hAnsi="Times New Roman"/>
          <w:sz w:val="24"/>
          <w:szCs w:val="24"/>
          <w:highlight w:val="white"/>
        </w:rPr>
        <w:t xml:space="preserve">Schuver, H., &amp; Steck, D. (2015). Cost-Effective Rapid and Long-Term Screening of Chemical Vapor Intrusion (CVI) Potential: Across Both Space and Time. </w:t>
      </w:r>
      <w:r>
        <w:rPr>
          <w:rFonts w:ascii="Times New Roman" w:cs="Times New Roman" w:eastAsia="Times New Roman" w:hAnsi="Times New Roman"/>
          <w:i/>
          <w:sz w:val="24"/>
          <w:szCs w:val="24"/>
          <w:highlight w:val="white"/>
        </w:rPr>
        <w:t>Remediation Journal</w:t>
      </w:r>
      <w:r>
        <w:rPr>
          <w:rFonts w:ascii="Times New Roman" w:cs="Times New Roman" w:eastAsia="Times New Roman" w:hAnsi="Times New Roman"/>
          <w:sz w:val="24"/>
          <w:szCs w:val="24"/>
          <w:highlight w:val="white"/>
        </w:rPr>
        <w:t xml:space="preserve">, </w:t>
      </w:r>
      <w:r>
        <w:rPr>
          <w:rFonts w:ascii="Times New Roman" w:cs="Times New Roman" w:eastAsia="Times New Roman" w:hAnsi="Times New Roman"/>
          <w:i/>
          <w:sz w:val="24"/>
          <w:szCs w:val="24"/>
          <w:highlight w:val="white"/>
        </w:rPr>
        <w:t>25</w:t>
      </w:r>
      <w:r>
        <w:rPr>
          <w:rFonts w:ascii="Times New Roman" w:cs="Times New Roman" w:eastAsia="Times New Roman" w:hAnsi="Times New Roman"/>
          <w:sz w:val="24"/>
          <w:szCs w:val="24"/>
          <w:highlight w:val="white"/>
        </w:rPr>
        <w:t>(4), 27-53. doi: 10.1002/rem.21439</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720" w:hanging="720"/>
        <w:jc w:val="both"/>
        <w:contextualSpacing w:val="false"/>
        <w:rPr>
          <w:rFonts w:ascii="Times New Roman" w:cs="Times New Roman" w:eastAsia="Times New Roman" w:hAnsi="Times New Roman"/>
          <w:sz w:val="24"/>
          <w:szCs w:val="24"/>
          <w:highlight w:val="white"/>
        </w:rPr>
      </w:pPr>
      <w:r>
        <w:rPr>
          <w:rFonts w:ascii="Times New Roman" w:cs="Times New Roman" w:eastAsia="Times New Roman" w:hAnsi="Times New Roman"/>
          <w:sz w:val="24"/>
          <w:szCs w:val="24"/>
          <w:highlight w:val="white"/>
        </w:rPr>
        <w:t xml:space="preserve">Smulowitz, S., &amp; Ziek, P. (2013). The Impact of Social Identity on Organizational Change through Progressive Discipline. </w:t>
      </w:r>
      <w:r>
        <w:rPr>
          <w:rFonts w:ascii="Times New Roman" w:cs="Times New Roman" w:eastAsia="Times New Roman" w:hAnsi="Times New Roman"/>
          <w:i/>
          <w:sz w:val="24"/>
          <w:szCs w:val="24"/>
          <w:highlight w:val="white"/>
        </w:rPr>
        <w:t>Change Management: An International Journal</w:t>
      </w:r>
      <w:r>
        <w:rPr>
          <w:rFonts w:ascii="Times New Roman" w:cs="Times New Roman" w:eastAsia="Times New Roman" w:hAnsi="Times New Roman"/>
          <w:sz w:val="24"/>
          <w:szCs w:val="24"/>
          <w:highlight w:val="white"/>
        </w:rPr>
        <w:t xml:space="preserve">, </w:t>
      </w:r>
      <w:r>
        <w:rPr>
          <w:rFonts w:ascii="Times New Roman" w:cs="Times New Roman" w:eastAsia="Times New Roman" w:hAnsi="Times New Roman"/>
          <w:i/>
          <w:sz w:val="24"/>
          <w:szCs w:val="24"/>
          <w:highlight w:val="white"/>
        </w:rPr>
        <w:t>12</w:t>
      </w:r>
      <w:r>
        <w:rPr>
          <w:rFonts w:ascii="Times New Roman" w:cs="Times New Roman" w:eastAsia="Times New Roman" w:hAnsi="Times New Roman"/>
          <w:sz w:val="24"/>
          <w:szCs w:val="24"/>
          <w:highlight w:val="white"/>
        </w:rPr>
        <w:t>(1), 37-47. doi: 10.18848/2327-798x/cgp/v12i01/50783</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720" w:hanging="720"/>
        <w:jc w:val="both"/>
        <w:contextualSpacing w:val="false"/>
        <w:rPr>
          <w:rFonts w:ascii="Times New Roman" w:cs="Times New Roman" w:eastAsia="Times New Roman" w:hAnsi="Times New Roman"/>
          <w:sz w:val="24"/>
          <w:szCs w:val="24"/>
          <w:highlight w:val="white"/>
        </w:rPr>
      </w:pPr>
      <w:r>
        <w:rPr>
          <w:rFonts w:ascii="Times New Roman" w:cs="Times New Roman" w:eastAsia="Times New Roman" w:hAnsi="Times New Roman"/>
          <w:sz w:val="24"/>
          <w:szCs w:val="24"/>
          <w:highlight w:val="white"/>
        </w:rPr>
        <w:t xml:space="preserve">Swanljung, K., &amp; Nurminen, J. (2017). 2017/8 The importance of complying with the appropriate procedure when unilaterally amending material terms of employment, as an alternative to termination (FI). </w:t>
      </w:r>
      <w:r>
        <w:rPr>
          <w:rFonts w:ascii="Times New Roman" w:cs="Times New Roman" w:eastAsia="Times New Roman" w:hAnsi="Times New Roman"/>
          <w:i/>
          <w:sz w:val="24"/>
          <w:szCs w:val="24"/>
          <w:highlight w:val="white"/>
        </w:rPr>
        <w:t>European Employment Law Cases</w:t>
      </w:r>
      <w:r>
        <w:rPr>
          <w:rFonts w:ascii="Times New Roman" w:cs="Times New Roman" w:eastAsia="Times New Roman" w:hAnsi="Times New Roman"/>
          <w:sz w:val="24"/>
          <w:szCs w:val="24"/>
          <w:highlight w:val="white"/>
        </w:rPr>
        <w:t xml:space="preserve">, </w:t>
      </w:r>
      <w:r>
        <w:rPr>
          <w:rFonts w:ascii="Times New Roman" w:cs="Times New Roman" w:eastAsia="Times New Roman" w:hAnsi="Times New Roman"/>
          <w:i/>
          <w:sz w:val="24"/>
          <w:szCs w:val="24"/>
          <w:highlight w:val="white"/>
        </w:rPr>
        <w:t>2</w:t>
      </w:r>
      <w:r>
        <w:rPr>
          <w:rFonts w:ascii="Times New Roman" w:cs="Times New Roman" w:eastAsia="Times New Roman" w:hAnsi="Times New Roman"/>
          <w:sz w:val="24"/>
          <w:szCs w:val="24"/>
          <w:highlight w:val="white"/>
        </w:rPr>
        <w:t>(1), 29-32. doi: 10.5553/eelc/187791072017002001009</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ind w:left="720" w:hanging="720"/>
        <w:jc w:val="both"/>
        <w:contextualSpacing w:val="false"/>
        <w:rPr>
          <w:rFonts w:ascii="Times New Roman" w:cs="Times New Roman" w:eastAsia="Times New Roman" w:hAnsi="Times New Roman"/>
          <w:sz w:val="24"/>
          <w:szCs w:val="24"/>
          <w:highlight w:val="white"/>
        </w:rPr>
      </w:pPr>
      <w:r>
        <w:rPr>
          <w:rFonts w:ascii="Times New Roman" w:cs="Times New Roman" w:eastAsia="Times New Roman" w:hAnsi="Times New Roman"/>
          <w:sz w:val="24"/>
          <w:szCs w:val="24"/>
          <w:highlight w:val="white"/>
        </w:rPr>
        <w:t xml:space="preserve">Vanderbilt, A., Dail, M., &amp; Jaberi, P. (2015). Reducing health disparities in underserved communities via interprofessional collaboration across health care professions. </w:t>
      </w:r>
      <w:r>
        <w:rPr>
          <w:rFonts w:ascii="Times New Roman" w:cs="Times New Roman" w:eastAsia="Times New Roman" w:hAnsi="Times New Roman"/>
          <w:i/>
          <w:sz w:val="24"/>
          <w:szCs w:val="24"/>
          <w:highlight w:val="white"/>
        </w:rPr>
        <w:t>Journal Of Multidisciplinary Healthcare</w:t>
      </w:r>
      <w:r>
        <w:rPr>
          <w:rFonts w:ascii="Times New Roman" w:cs="Times New Roman" w:eastAsia="Times New Roman" w:hAnsi="Times New Roman"/>
          <w:sz w:val="24"/>
          <w:szCs w:val="24"/>
          <w:highlight w:val="white"/>
        </w:rPr>
        <w:t>, 205. doi: 10.2147/jmdh.s74129</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highlight w:val="white"/>
        </w:rPr>
      </w:pP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pBdr>
          <w:left w:val="none" w:sz="0" w:space="0" w:color="auto"/>
          <w:right w:val="none" w:sz="0" w:space="0" w:color="auto"/>
          <w:top w:val="none" w:sz="0" w:space="0" w:color="auto"/>
          <w:bottom w:val="none" w:sz="0" w:space="0" w:color="auto"/>
          <w:between w:val="none" w:sz="0" w:space="0" w:color="auto"/>
        </w:pBdr>
        <w:spacing w:after="0" w:lineRule="auto" w:line="480"/>
        <w:jc w:val="both"/>
        <w:contextualSpacing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spacing w:lineRule="auto" w:line="480"/>
        <w:jc w:val="both"/>
        <w:contextualSpacing w:val="false"/>
        <w:rPr>
          <w:rFonts w:ascii="Times New Roman" w:cs="Times New Roman" w:eastAsia="Times New Roman" w:hAnsi="Times New Roman"/>
          <w:b/>
          <w:sz w:val="24"/>
          <w:szCs w:val="24"/>
        </w:rPr>
      </w:pPr>
    </w:p>
    <w:sectPr>
      <w:headerReference w:type="default" r:id="rId2"/>
      <w:headerReference w:type="first" r:id="rId3"/>
      <w:pgSz w:w="12240" w:h="15840" w:orient="portrait"/>
      <w:pgMar w:top="1440" w:right="1440" w:bottom="1440" w:left="1440" w:header="720" w:footer="720" w:gutter="0"/>
      <w:pgNumType w:start="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jc w:val="right"/>
      <w:contextualSpacing w:val="false"/>
      <w:rPr/>
    </w:pPr>
    <w:r>
      <w:rPr/>
      <w:fldChar w:fldCharType="begin"/>
    </w:r>
    <w:r>
      <w:instrText>PAGE</w:instrText>
    </w:r>
    <w:r>
      <w:rPr/>
      <w:fldChar w:fldCharType="separate"/>
    </w:r>
    <w:r>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jc w:val="right"/>
      <w:contextualSpacing w:val="fals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4"/>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Calibri" w:eastAsia="Calibri" w:hAnsi="Calibri"/>
        <w:sz w:val="22"/>
        <w:szCs w:val="22"/>
        <w:lang w:val="en-US"/>
      </w:rPr>
    </w:rPrDefault>
    <w:pPrDefault>
      <w:pPr>
        <w:spacing w:after="200" w:lineRule="auto" w:line="276"/>
      </w:pPr>
    </w:pPrDefault>
  </w:docDefaults>
  <w:style w:type="paragraph" w:customStyle="1" w:styleId="style4097">
    <w:name w:val="normal"/>
    <w:next w:val="style4097"/>
    <w:pPr/>
  </w:style>
  <w:style w:type="table" w:customStyle="1" w:styleId="style4098">
    <w:name w:val="Table Normal"/>
    <w:next w:val="style4098"/>
    <w:pPr/>
    <w:tcPr>
      <w:tcBorders/>
    </w:tcPr>
  </w:style>
  <w:style w:type="paragraph" w:styleId="style1">
    <w:name w:val="heading 1"/>
    <w:basedOn w:val="style4097"/>
    <w:next w:val="style4097"/>
    <w:pPr>
      <w:keepNext/>
      <w:keepLines/>
      <w:spacing w:before="480" w:after="120"/>
    </w:pPr>
    <w:rPr>
      <w:b/>
      <w:sz w:val="48"/>
      <w:szCs w:val="48"/>
    </w:rPr>
  </w:style>
  <w:style w:type="paragraph" w:styleId="style2">
    <w:name w:val="heading 2"/>
    <w:basedOn w:val="style4097"/>
    <w:next w:val="style4097"/>
    <w:pPr>
      <w:keepNext/>
      <w:keepLines/>
      <w:spacing w:before="360" w:after="80"/>
    </w:pPr>
    <w:rPr>
      <w:b/>
      <w:sz w:val="36"/>
      <w:szCs w:val="36"/>
    </w:rPr>
  </w:style>
  <w:style w:type="paragraph" w:styleId="style3">
    <w:name w:val="heading 3"/>
    <w:basedOn w:val="style4097"/>
    <w:next w:val="style4097"/>
    <w:pPr>
      <w:keepNext/>
      <w:keepLines/>
      <w:spacing w:before="280" w:after="80"/>
    </w:pPr>
    <w:rPr>
      <w:b/>
      <w:sz w:val="28"/>
      <w:szCs w:val="28"/>
    </w:rPr>
  </w:style>
  <w:style w:type="paragraph" w:styleId="style4">
    <w:name w:val="heading 4"/>
    <w:basedOn w:val="style4097"/>
    <w:next w:val="style4097"/>
    <w:pPr>
      <w:keepNext/>
      <w:keepLines/>
      <w:spacing w:before="240" w:after="40"/>
    </w:pPr>
    <w:rPr>
      <w:b/>
      <w:sz w:val="24"/>
      <w:szCs w:val="24"/>
    </w:rPr>
  </w:style>
  <w:style w:type="paragraph" w:styleId="style5">
    <w:name w:val="heading 5"/>
    <w:basedOn w:val="style4097"/>
    <w:next w:val="style4097"/>
    <w:pPr>
      <w:keepNext/>
      <w:keepLines/>
      <w:spacing w:before="220" w:after="40"/>
    </w:pPr>
    <w:rPr>
      <w:b/>
      <w:sz w:val="22"/>
      <w:szCs w:val="22"/>
    </w:rPr>
  </w:style>
  <w:style w:type="paragraph" w:styleId="style6">
    <w:name w:val="heading 6"/>
    <w:basedOn w:val="style4097"/>
    <w:next w:val="style4097"/>
    <w:pPr>
      <w:keepNext/>
      <w:keepLines/>
      <w:spacing w:before="200" w:after="40"/>
    </w:pPr>
    <w:rPr>
      <w:b/>
      <w:sz w:val="20"/>
      <w:szCs w:val="20"/>
    </w:rPr>
  </w:style>
  <w:style w:type="paragraph" w:styleId="style62">
    <w:name w:val="Title"/>
    <w:basedOn w:val="style4097"/>
    <w:next w:val="style4097"/>
    <w:pPr>
      <w:keepNext/>
      <w:keepLines/>
      <w:spacing w:before="480" w:after="120"/>
    </w:pPr>
    <w:rPr>
      <w:b/>
      <w:sz w:val="72"/>
      <w:szCs w:val="72"/>
    </w:rPr>
  </w:style>
  <w:style w:type="paragraph" w:styleId="style74">
    <w:name w:val="Subtitle"/>
    <w:basedOn w:val="style4097"/>
    <w:next w:val="style4097"/>
    <w:pPr>
      <w:keepNext/>
      <w:keepLines/>
      <w:spacing w:before="360" w:after="80"/>
    </w:pPr>
    <w:rPr>
      <w:rFonts w:ascii="Georgia" w:cs="Georgia" w:eastAsia="Georgia" w:hAnsi="Georgia"/>
      <w:i/>
      <w:color w:val="666666"/>
      <w:sz w:val="48"/>
      <w:szCs w:val="48"/>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3</TotalTime>
  <Words>1295</Words>
  <Characters>7416</Characters>
  <Application>WPS Office</Application>
  <Paragraphs>86</Paragraphs>
  <CharactersWithSpaces>8722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2018-10-10T18:05:03Z</dcterms:created>
  <dc:creator>WPS Office</dc:creator>
  <lastModifiedBy>Infinix S2 Pro</lastModifiedBy>
  <dcterms:modified xsi:type="dcterms:W3CDTF">2018-10-10T18:05:04Z</dcterms:modified>
</coreProperties>
</file>

<file path=docProps/custom.xml><?xml version="1.0" encoding="utf-8"?>
<Properties xmlns="http://schemas.openxmlformats.org/officeDocument/2006/custom-properties" xmlns:vt="http://schemas.openxmlformats.org/officeDocument/2006/docPropsVTypes"/>
</file>